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контрольного мероприятия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хозяйства, топливно-энергетического комплекса и энергосбережения Орловской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Внеплановое обследование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2021 - 2025 годов, а также в рамках подключения газоиспользующего оборудования к сетям газораспределения в рамках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догазификации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за период 2025 года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по результатам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планового обследования от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ходе внепланового обследования нарушений требований законодательства Российской Федерации и иных нормативных актов не установлено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90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контрольного мероприятия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2">
    <w:name w:val="Hyperlink"/>
    <w:basedOn w:val="618"/>
    <w:uiPriority w:val="99"/>
    <w:unhideWhenUsed/>
    <w:rPr>
      <w:color w:val="0563c1" w:themeColor="hyperlink"/>
      <w:u w:val="single"/>
    </w:rPr>
  </w:style>
  <w:style w:type="paragraph" w:styleId="62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Аноним</cp:lastModifiedBy>
  <cp:revision>108</cp:revision>
  <dcterms:created xsi:type="dcterms:W3CDTF">2025-10-08T06:31:00Z</dcterms:created>
  <dcterms:modified xsi:type="dcterms:W3CDTF">2026-07-02T05:43:00Z</dcterms:modified>
</cp:coreProperties>
</file>